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57E8A" w14:textId="32908427" w:rsidR="00952E4D" w:rsidRPr="00AF59B8" w:rsidRDefault="00886046" w:rsidP="00540F7C">
      <w:pPr>
        <w:pStyle w:val="Zkladntext"/>
        <w:spacing w:before="240" w:after="600"/>
        <w:jc w:val="center"/>
        <w:rPr>
          <w:rFonts w:ascii="Aptos" w:hAnsi="Aptos" w:cs="Times New Roman"/>
          <w:b/>
          <w:bCs/>
          <w:sz w:val="28"/>
          <w:szCs w:val="22"/>
        </w:rPr>
      </w:pPr>
      <w:r w:rsidRPr="00AF59B8">
        <w:rPr>
          <w:rFonts w:ascii="Aptos" w:hAnsi="Aptos" w:cs="Times New Roman"/>
          <w:b/>
          <w:caps/>
          <w:sz w:val="28"/>
          <w:szCs w:val="22"/>
        </w:rPr>
        <w:t>Vypořádání připomín</w:t>
      </w:r>
      <w:r w:rsidR="002E4804" w:rsidRPr="00AF59B8">
        <w:rPr>
          <w:rFonts w:ascii="Aptos" w:hAnsi="Aptos" w:cs="Times New Roman"/>
          <w:b/>
          <w:caps/>
          <w:sz w:val="28"/>
          <w:szCs w:val="22"/>
        </w:rPr>
        <w:t>k</w:t>
      </w:r>
      <w:r w:rsidRPr="00AF59B8">
        <w:rPr>
          <w:rFonts w:ascii="Aptos" w:hAnsi="Aptos" w:cs="Times New Roman"/>
          <w:b/>
          <w:caps/>
          <w:sz w:val="28"/>
          <w:szCs w:val="22"/>
        </w:rPr>
        <w:t>ového řízení</w:t>
      </w:r>
    </w:p>
    <w:p w14:paraId="7DBD51B1" w14:textId="77777777" w:rsidR="004200DC" w:rsidRPr="004200DC" w:rsidRDefault="004200DC" w:rsidP="004200DC">
      <w:pPr>
        <w:spacing w:before="240" w:after="240"/>
        <w:jc w:val="center"/>
        <w:rPr>
          <w:rFonts w:ascii="Aptos" w:hAnsi="Aptos" w:cs="Times New Roman"/>
          <w:b/>
        </w:rPr>
      </w:pPr>
      <w:r w:rsidRPr="004200DC">
        <w:rPr>
          <w:rFonts w:ascii="Aptos" w:hAnsi="Aptos" w:cs="Times New Roman"/>
          <w:b/>
        </w:rPr>
        <w:t>k materiálu Grantové agentury České republiky a Technologické agentury České republiky</w:t>
      </w:r>
    </w:p>
    <w:p w14:paraId="62F3E437" w14:textId="77777777" w:rsidR="004200DC" w:rsidRPr="004200DC" w:rsidRDefault="004200DC" w:rsidP="004200DC">
      <w:pPr>
        <w:spacing w:before="240" w:after="240"/>
        <w:jc w:val="center"/>
        <w:rPr>
          <w:rFonts w:ascii="Aptos" w:hAnsi="Aptos" w:cs="Times New Roman"/>
          <w:b/>
        </w:rPr>
      </w:pPr>
      <w:r w:rsidRPr="004200DC">
        <w:rPr>
          <w:rFonts w:ascii="Aptos" w:hAnsi="Aptos" w:cs="Times New Roman"/>
          <w:b/>
        </w:rPr>
        <w:t>ke Kontrolnímu závěru z kontrolní akce č. 24/17 „Peněžní prostředky určené na účelovou</w:t>
      </w:r>
    </w:p>
    <w:p w14:paraId="418707FE" w14:textId="77777777" w:rsidR="004200DC" w:rsidRPr="004200DC" w:rsidRDefault="004200DC" w:rsidP="004200DC">
      <w:pPr>
        <w:spacing w:before="240" w:after="240"/>
        <w:jc w:val="center"/>
        <w:rPr>
          <w:rFonts w:ascii="Aptos" w:hAnsi="Aptos" w:cs="Times New Roman"/>
          <w:b/>
        </w:rPr>
      </w:pPr>
      <w:r w:rsidRPr="004200DC">
        <w:rPr>
          <w:rFonts w:ascii="Aptos" w:hAnsi="Aptos" w:cs="Times New Roman"/>
          <w:b/>
        </w:rPr>
        <w:t>podporu výzkumu, vývoje a inovací prostřednictvím rozpočtových kapitol Grantová</w:t>
      </w:r>
    </w:p>
    <w:p w14:paraId="46C3180F" w14:textId="744A7855" w:rsidR="00F81021" w:rsidRDefault="004200DC" w:rsidP="004200DC">
      <w:pPr>
        <w:spacing w:before="240" w:after="240"/>
        <w:jc w:val="center"/>
        <w:rPr>
          <w:rFonts w:ascii="Aptos" w:hAnsi="Aptos" w:cs="Times New Roman"/>
          <w:b/>
        </w:rPr>
      </w:pPr>
      <w:r w:rsidRPr="004200DC">
        <w:rPr>
          <w:rFonts w:ascii="Aptos" w:hAnsi="Aptos" w:cs="Times New Roman"/>
          <w:b/>
        </w:rPr>
        <w:t>agentura České republiky a Technologická agentura České republiky</w:t>
      </w:r>
    </w:p>
    <w:p w14:paraId="4CF37320" w14:textId="67F745A5" w:rsidR="00B81330" w:rsidRPr="00AF59B8" w:rsidRDefault="00B81330" w:rsidP="009056DD">
      <w:pPr>
        <w:spacing w:before="240" w:after="240"/>
        <w:jc w:val="both"/>
        <w:rPr>
          <w:rFonts w:ascii="Aptos" w:hAnsi="Aptos" w:cs="Times New Roman"/>
          <w:szCs w:val="22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587"/>
        <w:gridCol w:w="6105"/>
        <w:gridCol w:w="6105"/>
      </w:tblGrid>
      <w:tr w:rsidR="00B05E6F" w:rsidRPr="00AF59B8" w14:paraId="14CE263E" w14:textId="77777777" w:rsidTr="00CE00B4">
        <w:trPr>
          <w:trHeight w:val="340"/>
          <w:jc w:val="center"/>
        </w:trPr>
        <w:tc>
          <w:tcPr>
            <w:tcW w:w="1945" w:type="dxa"/>
            <w:vAlign w:val="center"/>
          </w:tcPr>
          <w:p w14:paraId="32947FCC" w14:textId="77777777" w:rsidR="00FE7E10" w:rsidRPr="00AF59B8" w:rsidRDefault="00FE7E10" w:rsidP="00B441F8">
            <w:pPr>
              <w:jc w:val="center"/>
              <w:rPr>
                <w:rFonts w:ascii="Aptos" w:hAnsi="Aptos" w:cs="Times New Roman"/>
                <w:szCs w:val="22"/>
              </w:rPr>
            </w:pPr>
            <w:r w:rsidRPr="00AF59B8">
              <w:rPr>
                <w:rFonts w:ascii="Aptos" w:hAnsi="Aptos" w:cs="Times New Roman"/>
                <w:b/>
                <w:bCs/>
                <w:szCs w:val="22"/>
              </w:rPr>
              <w:t>Resort</w:t>
            </w:r>
          </w:p>
        </w:tc>
        <w:tc>
          <w:tcPr>
            <w:tcW w:w="587" w:type="dxa"/>
            <w:vAlign w:val="center"/>
          </w:tcPr>
          <w:p w14:paraId="79B99CD6" w14:textId="2C72A121" w:rsidR="00FE7E10" w:rsidRPr="005C6F8F" w:rsidRDefault="00FE7E10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 w:rsidRPr="005C6F8F">
              <w:rPr>
                <w:rFonts w:ascii="Aptos" w:hAnsi="Aptos" w:cs="Times New Roman"/>
                <w:b/>
                <w:bCs/>
                <w:szCs w:val="22"/>
              </w:rPr>
              <w:t>Č.</w:t>
            </w:r>
          </w:p>
        </w:tc>
        <w:tc>
          <w:tcPr>
            <w:tcW w:w="6105" w:type="dxa"/>
            <w:vAlign w:val="center"/>
          </w:tcPr>
          <w:p w14:paraId="05F7818A" w14:textId="4FC95473" w:rsidR="00FE7E10" w:rsidRPr="00AF59B8" w:rsidRDefault="00FE7E10" w:rsidP="00B441F8">
            <w:pPr>
              <w:jc w:val="center"/>
              <w:rPr>
                <w:rFonts w:ascii="Aptos" w:hAnsi="Aptos" w:cs="Times New Roman"/>
                <w:szCs w:val="22"/>
              </w:rPr>
            </w:pPr>
            <w:r w:rsidRPr="00AF59B8">
              <w:rPr>
                <w:rFonts w:ascii="Aptos" w:hAnsi="Aptos" w:cs="Times New Roman"/>
                <w:b/>
                <w:bCs/>
                <w:szCs w:val="22"/>
              </w:rPr>
              <w:t>Připomínky</w:t>
            </w:r>
          </w:p>
        </w:tc>
        <w:tc>
          <w:tcPr>
            <w:tcW w:w="6105" w:type="dxa"/>
            <w:vAlign w:val="center"/>
          </w:tcPr>
          <w:p w14:paraId="0331491A" w14:textId="51383C71" w:rsidR="00FE7E10" w:rsidRPr="00AF59B8" w:rsidRDefault="00B05E6F" w:rsidP="00B05E6F">
            <w:pPr>
              <w:ind w:right="-101"/>
              <w:jc w:val="center"/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Vypořádání</w:t>
            </w:r>
          </w:p>
        </w:tc>
      </w:tr>
      <w:tr w:rsidR="00415516" w:rsidRPr="00AF59B8" w14:paraId="61FDA54E" w14:textId="77777777" w:rsidTr="00E853AC">
        <w:trPr>
          <w:trHeight w:val="340"/>
          <w:jc w:val="center"/>
        </w:trPr>
        <w:tc>
          <w:tcPr>
            <w:tcW w:w="1945" w:type="dxa"/>
          </w:tcPr>
          <w:p w14:paraId="625610BD" w14:textId="5B72379E" w:rsidR="00415516" w:rsidRDefault="00415516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  <w:r>
              <w:rPr>
                <w:rFonts w:ascii="Aptos" w:hAnsi="Aptos" w:cs="Times New Roman"/>
                <w:b/>
                <w:szCs w:val="22"/>
              </w:rPr>
              <w:t>Ministerstvo financí</w:t>
            </w:r>
          </w:p>
        </w:tc>
        <w:tc>
          <w:tcPr>
            <w:tcW w:w="587" w:type="dxa"/>
          </w:tcPr>
          <w:p w14:paraId="1ACD1261" w14:textId="0AE6D8C2" w:rsidR="00415516" w:rsidRDefault="00415516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1.</w:t>
            </w:r>
          </w:p>
        </w:tc>
        <w:tc>
          <w:tcPr>
            <w:tcW w:w="6105" w:type="dxa"/>
            <w:vAlign w:val="center"/>
          </w:tcPr>
          <w:p w14:paraId="76769D7F" w14:textId="77777777" w:rsidR="00415516" w:rsidRDefault="00415516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Zásadní připomínka:</w:t>
            </w:r>
          </w:p>
          <w:p w14:paraId="6D16FDDF" w14:textId="77777777" w:rsidR="00415516" w:rsidRDefault="00415516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4846E669" w14:textId="47E746CD" w:rsidR="00415516" w:rsidRPr="004200DC" w:rsidRDefault="00415516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15516">
              <w:rPr>
                <w:rFonts w:ascii="Aptos" w:hAnsi="Aptos" w:cs="Times New Roman"/>
                <w:b/>
                <w:bCs/>
                <w:szCs w:val="22"/>
              </w:rPr>
              <w:t>Vzhledem k tomu, že některé nálezy NKÚ přesahují kompetence obou agentur, a to nejen ohledně zajištění finanční podpory, považujeme za nezbytné, aby byl materiál doplněn o vyjádření Rady pro výzkum, vývoj a inovace jako zastřešujícího poradního orgánu vlády pro tuto oblast.</w:t>
            </w:r>
          </w:p>
        </w:tc>
        <w:tc>
          <w:tcPr>
            <w:tcW w:w="6105" w:type="dxa"/>
          </w:tcPr>
          <w:p w14:paraId="0BEDD371" w14:textId="77777777" w:rsidR="00415516" w:rsidRDefault="008D74FB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3A8F506C" w14:textId="77777777" w:rsidR="008D74FB" w:rsidRDefault="008D74FB" w:rsidP="00B05E6F">
            <w:pPr>
              <w:rPr>
                <w:rFonts w:ascii="Aptos" w:hAnsi="Aptos" w:cs="Times New Roman"/>
                <w:szCs w:val="22"/>
              </w:rPr>
            </w:pPr>
          </w:p>
          <w:p w14:paraId="63021572" w14:textId="412F358F" w:rsidR="008D74FB" w:rsidRDefault="008D74FB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Stanovisko Rady pro výzkum, vývoj a inovace bylo doplněno.</w:t>
            </w:r>
          </w:p>
        </w:tc>
      </w:tr>
      <w:tr w:rsidR="00415516" w:rsidRPr="00AF59B8" w14:paraId="371F96C5" w14:textId="77777777" w:rsidTr="00E853AC">
        <w:trPr>
          <w:trHeight w:val="340"/>
          <w:jc w:val="center"/>
        </w:trPr>
        <w:tc>
          <w:tcPr>
            <w:tcW w:w="1945" w:type="dxa"/>
          </w:tcPr>
          <w:p w14:paraId="0D867D5A" w14:textId="77777777" w:rsidR="00415516" w:rsidRDefault="00415516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7B839845" w14:textId="47D7E86F" w:rsidR="00415516" w:rsidRDefault="00415516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2.</w:t>
            </w:r>
          </w:p>
        </w:tc>
        <w:tc>
          <w:tcPr>
            <w:tcW w:w="6105" w:type="dxa"/>
            <w:vAlign w:val="center"/>
          </w:tcPr>
          <w:p w14:paraId="4CCA04B5" w14:textId="77777777" w:rsidR="00415516" w:rsidRDefault="00F049DE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Zásadní připomínka:</w:t>
            </w:r>
          </w:p>
          <w:p w14:paraId="534FD078" w14:textId="77777777" w:rsidR="00F049DE" w:rsidRDefault="00F049DE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2758036" w14:textId="5C0BB837" w:rsidR="00F049DE" w:rsidRDefault="00F049DE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F049DE">
              <w:rPr>
                <w:rFonts w:ascii="Aptos" w:hAnsi="Aptos" w:cs="Times New Roman"/>
                <w:b/>
                <w:bCs/>
                <w:szCs w:val="22"/>
              </w:rPr>
              <w:t xml:space="preserve">Ve vyjádření TA ČR v bodě 2. 2. ke snižujícímu se zapojení soukromého sektoru požadujeme detailněji osvětlit a podložit daty, o jaké hodnoty by se zapojení soukromého sektoru lišilo, pokud by se zapojení posuzovalo slovy TA ČR „v širším pohledu na ekosystém“. V tomto smyslu považujeme i navrhovaná opatření spíše za obecná, než </w:t>
            </w:r>
            <w:r w:rsidRPr="00F049DE">
              <w:rPr>
                <w:rFonts w:ascii="Aptos" w:hAnsi="Aptos" w:cs="Times New Roman"/>
                <w:b/>
                <w:bCs/>
                <w:szCs w:val="22"/>
              </w:rPr>
              <w:lastRenderedPageBreak/>
              <w:t>konstruktivní. Požadujeme stanovisko TAČR doplnit, upravit a konkretizovat opatření.</w:t>
            </w:r>
          </w:p>
        </w:tc>
        <w:tc>
          <w:tcPr>
            <w:tcW w:w="6105" w:type="dxa"/>
          </w:tcPr>
          <w:p w14:paraId="4A7ED3E7" w14:textId="77777777" w:rsidR="00415516" w:rsidRDefault="00F049DE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lastRenderedPageBreak/>
              <w:t>Akceptováno.</w:t>
            </w:r>
          </w:p>
          <w:p w14:paraId="1286D47F" w14:textId="77777777" w:rsidR="00F049DE" w:rsidRDefault="00F049DE" w:rsidP="00B05E6F">
            <w:pPr>
              <w:rPr>
                <w:rFonts w:ascii="Aptos" w:hAnsi="Aptos" w:cs="Times New Roman"/>
                <w:szCs w:val="22"/>
              </w:rPr>
            </w:pPr>
          </w:p>
          <w:p w14:paraId="70C455E1" w14:textId="65DA1106" w:rsidR="00F049DE" w:rsidRDefault="00822045" w:rsidP="00B05E6F">
            <w:pPr>
              <w:rPr>
                <w:rFonts w:ascii="Aptos" w:hAnsi="Aptos" w:cs="Times New Roman"/>
                <w:szCs w:val="22"/>
              </w:rPr>
            </w:pPr>
            <w:r w:rsidRPr="00822045">
              <w:rPr>
                <w:rFonts w:ascii="Aptos" w:hAnsi="Aptos" w:cs="Times New Roman"/>
                <w:szCs w:val="22"/>
              </w:rPr>
              <w:t>Na základě projednání návrhu vypořádání bylo dohodnuto, že Radě pro výzkum, vývoj a inovace bude předložen materiál, který bude naplňovat náležitosti uvedené v této připomínce, a to do 24. listopadu 2025. </w:t>
            </w:r>
          </w:p>
        </w:tc>
      </w:tr>
      <w:tr w:rsidR="00B05E6F" w:rsidRPr="00AF59B8" w14:paraId="762E8882" w14:textId="77777777" w:rsidTr="00E853AC">
        <w:trPr>
          <w:trHeight w:val="340"/>
          <w:jc w:val="center"/>
        </w:trPr>
        <w:tc>
          <w:tcPr>
            <w:tcW w:w="1945" w:type="dxa"/>
          </w:tcPr>
          <w:p w14:paraId="2066D804" w14:textId="297047C0" w:rsidR="008842B3" w:rsidRPr="00441E4C" w:rsidRDefault="00415516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  <w:r>
              <w:rPr>
                <w:rFonts w:ascii="Aptos" w:hAnsi="Aptos" w:cs="Times New Roman"/>
                <w:b/>
                <w:szCs w:val="22"/>
              </w:rPr>
              <w:t>Nejvyšší kontrolní úřad</w:t>
            </w:r>
          </w:p>
        </w:tc>
        <w:tc>
          <w:tcPr>
            <w:tcW w:w="587" w:type="dxa"/>
          </w:tcPr>
          <w:p w14:paraId="2479D830" w14:textId="1D97852D" w:rsidR="008842B3" w:rsidRPr="005C6F8F" w:rsidRDefault="008842B3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1.</w:t>
            </w:r>
          </w:p>
        </w:tc>
        <w:tc>
          <w:tcPr>
            <w:tcW w:w="6105" w:type="dxa"/>
            <w:vAlign w:val="center"/>
          </w:tcPr>
          <w:p w14:paraId="13B16A9F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 xml:space="preserve">Ke Stanovisku obecně </w:t>
            </w:r>
          </w:p>
          <w:p w14:paraId="6E9970CC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2031E3D8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 xml:space="preserve">GA ČR a TA ČR v tomto Stanovisku uvádí návrhy opatření, která jsou konceptuálně správná a reflektují kontrolní zjištění, nicméně jejich dostatečnost je limitována absencí konkrétních termínů a měřitelných cílů. </w:t>
            </w:r>
          </w:p>
          <w:p w14:paraId="24C712DB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356F929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 xml:space="preserve">NKÚ k tomu uvádí, že návrhy opatření jsou velmi obecné a nevyplývají z nich konkrétní kroky, které by agentury učinily. </w:t>
            </w:r>
          </w:p>
          <w:p w14:paraId="59362647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502927E0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 xml:space="preserve">NKÚ navrhuje, aby GA ČR a TA ČR ke všem návrhům opatření doplnily časové termíny, které by obě agentury zavazovaly k reálným krokům a jejich plnění by bylo zpětně ověřitelné. </w:t>
            </w:r>
          </w:p>
          <w:p w14:paraId="49E02E4C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71676EE5" w14:textId="55EB95D7" w:rsidR="008842B3" w:rsidRPr="004C3E45" w:rsidRDefault="004200DC" w:rsidP="004C3E45">
            <w:pPr>
              <w:rPr>
                <w:rFonts w:ascii="Aptos" w:hAnsi="Aptos" w:cs="Times New Roman"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>Tato připomínka je zásadní.</w:t>
            </w:r>
          </w:p>
        </w:tc>
        <w:tc>
          <w:tcPr>
            <w:tcW w:w="6105" w:type="dxa"/>
          </w:tcPr>
          <w:p w14:paraId="73110333" w14:textId="77777777" w:rsidR="008842B3" w:rsidRDefault="00C9416F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6B33B8C8" w14:textId="413FD4CF" w:rsidR="00C9416F" w:rsidRDefault="00C9416F" w:rsidP="00B05E6F">
            <w:pPr>
              <w:rPr>
                <w:rFonts w:ascii="Aptos" w:hAnsi="Aptos" w:cs="Times New Roman"/>
                <w:szCs w:val="22"/>
              </w:rPr>
            </w:pPr>
          </w:p>
          <w:p w14:paraId="051E3846" w14:textId="11268BF3" w:rsidR="004200DC" w:rsidRDefault="004200DC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K návrhům opatření GA ČR a TA ČR doplnily časové termíny zavazující k reálným krokům a umožňující ověření jejich plnění.</w:t>
            </w:r>
          </w:p>
          <w:p w14:paraId="28162FA5" w14:textId="385D079B" w:rsidR="003636B6" w:rsidRPr="00C94FD4" w:rsidRDefault="003636B6" w:rsidP="00B05E6F">
            <w:pPr>
              <w:rPr>
                <w:rFonts w:ascii="Aptos" w:hAnsi="Aptos" w:cs="Times New Roman"/>
                <w:i/>
                <w:iCs/>
                <w:szCs w:val="22"/>
              </w:rPr>
            </w:pPr>
          </w:p>
        </w:tc>
      </w:tr>
      <w:tr w:rsidR="004200DC" w:rsidRPr="00AF59B8" w14:paraId="0BB40DFF" w14:textId="77777777" w:rsidTr="00E853AC">
        <w:trPr>
          <w:trHeight w:val="340"/>
          <w:jc w:val="center"/>
        </w:trPr>
        <w:tc>
          <w:tcPr>
            <w:tcW w:w="1945" w:type="dxa"/>
          </w:tcPr>
          <w:p w14:paraId="10A04DBB" w14:textId="77777777" w:rsidR="004200DC" w:rsidRDefault="004200DC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70D2B7CD" w14:textId="5B29ADE1" w:rsidR="004200DC" w:rsidRDefault="004200DC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2.</w:t>
            </w:r>
          </w:p>
        </w:tc>
        <w:tc>
          <w:tcPr>
            <w:tcW w:w="6105" w:type="dxa"/>
            <w:vAlign w:val="center"/>
          </w:tcPr>
          <w:p w14:paraId="37FA26A3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 xml:space="preserve">Ke Stanovisku, části 1. Úvod, poslední větě </w:t>
            </w:r>
          </w:p>
          <w:p w14:paraId="7829F354" w14:textId="77777777" w:rsid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3D606CF0" w14:textId="77777777" w:rsidR="006927CB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 xml:space="preserve">GA ČR a TA ČR v tomto odstavci uvádí „Zároveň však považujeme za nezbytné uvést některé skutečnosti, které doplňují kontext celého ekosystému veřejné podpory VaVaI a často jsou mimo reálné kompetence obou agentur“. </w:t>
            </w:r>
          </w:p>
          <w:p w14:paraId="2DD0A7C5" w14:textId="77777777" w:rsidR="006927CB" w:rsidRDefault="006927CB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5F37DAC8" w14:textId="77777777" w:rsidR="006927CB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 xml:space="preserve">NKÚ k tomu uvádí, že zjištění o zjednodušení systému VaVaI bylo konstatováno a nebylo TA ČR přímo vytýkáno, neboť TA ČR skutečně nedisponuje aktivními možnostmi, jak zjednodušit systém VaVaI a </w:t>
            </w:r>
            <w:r w:rsidRPr="004200DC">
              <w:rPr>
                <w:rFonts w:ascii="Aptos" w:hAnsi="Aptos" w:cs="Times New Roman"/>
                <w:b/>
                <w:bCs/>
                <w:szCs w:val="22"/>
              </w:rPr>
              <w:lastRenderedPageBreak/>
              <w:t xml:space="preserve">„přimět“ nezapojené poskytovatele podpory využívat jejích služeb pro administraci programů a projektů. Zbylá zjištění uvedená v kontrolním závěru jsou spjata především se strategickými rozhodnutími obou agentur. Příslušná zjištění kontrolního závěru vychází z podkladů kontrolovaných agentur. </w:t>
            </w:r>
          </w:p>
          <w:p w14:paraId="7BD9B475" w14:textId="77777777" w:rsidR="006927CB" w:rsidRDefault="006927CB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5EE22E81" w14:textId="7CD1132E" w:rsidR="004200DC" w:rsidRPr="004200DC" w:rsidRDefault="004200DC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4200DC">
              <w:rPr>
                <w:rFonts w:ascii="Aptos" w:hAnsi="Aptos" w:cs="Times New Roman"/>
                <w:b/>
                <w:bCs/>
                <w:szCs w:val="22"/>
              </w:rPr>
              <w:t>NKÚ navrhuje, aby GA ČR a TA ČR v uvedené větě vypustil část věty „často jsou mimo reálné kompetence obou agentur“ a nahradil jej novou částí „spadají i do rozhodnutí na národní úrovni“ nebo „jsou ovlivňovány i jinými faktory.“</w:t>
            </w:r>
          </w:p>
        </w:tc>
        <w:tc>
          <w:tcPr>
            <w:tcW w:w="6105" w:type="dxa"/>
          </w:tcPr>
          <w:p w14:paraId="6FF3648B" w14:textId="77777777" w:rsidR="004200DC" w:rsidRDefault="008043C7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lastRenderedPageBreak/>
              <w:t>Akceptováno.</w:t>
            </w:r>
          </w:p>
          <w:p w14:paraId="2CFFC1FC" w14:textId="77777777" w:rsidR="008043C7" w:rsidRDefault="008043C7" w:rsidP="00B05E6F">
            <w:pPr>
              <w:rPr>
                <w:rFonts w:ascii="Aptos" w:hAnsi="Aptos" w:cs="Times New Roman"/>
                <w:szCs w:val="22"/>
              </w:rPr>
            </w:pPr>
          </w:p>
          <w:p w14:paraId="261EEE98" w14:textId="13B201DA" w:rsidR="008043C7" w:rsidRDefault="008043C7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Formulace upravena dle připomínky.</w:t>
            </w:r>
          </w:p>
        </w:tc>
      </w:tr>
      <w:tr w:rsidR="008043C7" w:rsidRPr="00AF59B8" w14:paraId="2AF26E9C" w14:textId="77777777" w:rsidTr="00E853AC">
        <w:trPr>
          <w:trHeight w:val="340"/>
          <w:jc w:val="center"/>
        </w:trPr>
        <w:tc>
          <w:tcPr>
            <w:tcW w:w="1945" w:type="dxa"/>
          </w:tcPr>
          <w:p w14:paraId="5E588546" w14:textId="77777777" w:rsidR="008043C7" w:rsidRDefault="008043C7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04FDB4B6" w14:textId="247A7E7A" w:rsidR="008043C7" w:rsidRDefault="008043C7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3.</w:t>
            </w:r>
          </w:p>
        </w:tc>
        <w:tc>
          <w:tcPr>
            <w:tcW w:w="6105" w:type="dxa"/>
            <w:vAlign w:val="center"/>
          </w:tcPr>
          <w:p w14:paraId="7AEB1977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8043C7">
              <w:rPr>
                <w:rFonts w:ascii="Aptos" w:hAnsi="Aptos" w:cs="Times New Roman"/>
                <w:b/>
                <w:bCs/>
                <w:szCs w:val="22"/>
              </w:rPr>
              <w:t>Ke Stanovisku, části 2. Hlavní zjištění z kontroly, bodu 2.1, třetímu odstavci</w:t>
            </w:r>
          </w:p>
          <w:p w14:paraId="44DD8BEE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214C1909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GA ČR v tomto odstavci uvádí: „V budoucnu bude GA ČR usilovat, aby minimálně 2/3 účelové podpory směřovaly do projektů, které spadají do oblastí definovaných v Národních prioritách orientovaného výzkumu“. </w:t>
            </w:r>
          </w:p>
          <w:p w14:paraId="03DAF90A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NKÚ k tomu uvádí, že v této části absentuje odpovídající navržené opatření včetně uvedení konkrétních termínů. GA ČR uvedla jen vyjádření ve formě příslibu bez konkrétního časového rámce, z něhož tak nevyplývá konkrétní opatření. </w:t>
            </w:r>
          </w:p>
          <w:p w14:paraId="023D8F78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6911B577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GA ČR pouze uvádí, že v návrhu rozpočtu usiluje o navýšení prostředků pro vyhlášení soutěže pro skupinu grantových projektů orientovaného základního výzkumu. GA ČR dále uvádí, že připravila novou skupinu grantových projektů </w:t>
            </w:r>
            <w:proofErr w:type="spellStart"/>
            <w:r w:rsidRPr="008043C7">
              <w:rPr>
                <w:rFonts w:ascii="Aptos" w:hAnsi="Aptos" w:cs="Times New Roman"/>
                <w:b/>
                <w:bCs/>
                <w:szCs w:val="22"/>
              </w:rPr>
              <w:t>Proof</w:t>
            </w:r>
            <w:proofErr w:type="spellEnd"/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 </w:t>
            </w:r>
            <w:proofErr w:type="spellStart"/>
            <w:r w:rsidRPr="008043C7">
              <w:rPr>
                <w:rFonts w:ascii="Aptos" w:hAnsi="Aptos" w:cs="Times New Roman"/>
                <w:b/>
                <w:bCs/>
                <w:szCs w:val="22"/>
              </w:rPr>
              <w:t>of</w:t>
            </w:r>
            <w:proofErr w:type="spellEnd"/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 </w:t>
            </w:r>
            <w:proofErr w:type="spellStart"/>
            <w:r w:rsidRPr="008043C7">
              <w:rPr>
                <w:rFonts w:ascii="Aptos" w:hAnsi="Aptos" w:cs="Times New Roman"/>
                <w:b/>
                <w:bCs/>
                <w:szCs w:val="22"/>
              </w:rPr>
              <w:t>Concept</w:t>
            </w:r>
            <w:proofErr w:type="spellEnd"/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, jejímž cílem je pomoci projektům základního výzkumu </w:t>
            </w:r>
            <w:r w:rsidRPr="008043C7">
              <w:rPr>
                <w:rFonts w:ascii="Aptos" w:hAnsi="Aptos" w:cs="Times New Roman"/>
                <w:b/>
                <w:bCs/>
                <w:szCs w:val="22"/>
              </w:rPr>
              <w:lastRenderedPageBreak/>
              <w:t xml:space="preserve">rozvinout aplikační potenciál. Realizace obou zmíněných aktivit závisí na schválené výši státního rozpočtu pro tuto oblast, a tudíž hrozí potenciální riziko, že tyto orientované skupiny grantových projektů nebudou vůbec realizovány. </w:t>
            </w:r>
          </w:p>
          <w:p w14:paraId="24219956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17131538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Dále se NKÚ domnívá, že podpora projektů, které se přihlásí k Národním prioritám orientovaného výzkumu, vzhledem k širokému rozpětí těchto priorit, není dostatečná. GA ČR by měla podporovat projekty řešící současné nebo v budoucnu očekávané problémy, což Národní priority orientovaného výzkumu schválené v roce 2011 nejsou. </w:t>
            </w:r>
          </w:p>
          <w:p w14:paraId="75C9FEC8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77651EED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8043C7">
              <w:rPr>
                <w:rFonts w:ascii="Aptos" w:hAnsi="Aptos" w:cs="Times New Roman"/>
                <w:b/>
                <w:bCs/>
                <w:szCs w:val="22"/>
              </w:rPr>
              <w:t xml:space="preserve">NKÚ navrhuje, aby GA ČR uvedlo ve Stanovisku konkrétní návrh opatření s konkrétním termínem, který daný nedostatek odstraní. </w:t>
            </w:r>
          </w:p>
          <w:p w14:paraId="75F7C7DC" w14:textId="77777777" w:rsidR="008043C7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140A5B46" w14:textId="7D606461" w:rsidR="008043C7" w:rsidRPr="004200DC" w:rsidRDefault="008043C7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8043C7">
              <w:rPr>
                <w:rFonts w:ascii="Aptos" w:hAnsi="Aptos" w:cs="Times New Roman"/>
                <w:b/>
                <w:bCs/>
                <w:szCs w:val="22"/>
              </w:rPr>
              <w:t>Tato připomínka je zásadní.</w:t>
            </w:r>
          </w:p>
        </w:tc>
        <w:tc>
          <w:tcPr>
            <w:tcW w:w="6105" w:type="dxa"/>
          </w:tcPr>
          <w:p w14:paraId="0A2F773A" w14:textId="77777777" w:rsidR="008043C7" w:rsidRDefault="008043C7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lastRenderedPageBreak/>
              <w:t>Akceptováno.</w:t>
            </w:r>
          </w:p>
          <w:p w14:paraId="74E0ECDE" w14:textId="77777777" w:rsidR="008043C7" w:rsidRDefault="008043C7" w:rsidP="00B05E6F">
            <w:pPr>
              <w:rPr>
                <w:rFonts w:ascii="Aptos" w:hAnsi="Aptos" w:cs="Times New Roman"/>
                <w:szCs w:val="22"/>
              </w:rPr>
            </w:pPr>
          </w:p>
          <w:p w14:paraId="6C5C45E6" w14:textId="7DFE9819" w:rsidR="008043C7" w:rsidRDefault="008043C7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GA ČR uvedla ve Stanovisku konkrétní návrh opatření s konkrétním termínem.</w:t>
            </w:r>
          </w:p>
        </w:tc>
      </w:tr>
      <w:tr w:rsidR="008043C7" w:rsidRPr="00AF59B8" w14:paraId="7A68E086" w14:textId="77777777" w:rsidTr="00E853AC">
        <w:trPr>
          <w:trHeight w:val="340"/>
          <w:jc w:val="center"/>
        </w:trPr>
        <w:tc>
          <w:tcPr>
            <w:tcW w:w="1945" w:type="dxa"/>
          </w:tcPr>
          <w:p w14:paraId="19AD8166" w14:textId="77777777" w:rsidR="008043C7" w:rsidRDefault="008043C7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3049DB7B" w14:textId="241AFE32" w:rsidR="008043C7" w:rsidRDefault="008043C7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4.</w:t>
            </w:r>
          </w:p>
        </w:tc>
        <w:tc>
          <w:tcPr>
            <w:tcW w:w="6105" w:type="dxa"/>
            <w:vAlign w:val="center"/>
          </w:tcPr>
          <w:p w14:paraId="5F84948F" w14:textId="77777777" w:rsidR="008043C7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Ke Stanovisku, části 2. Hlavní zjištění z kontroly, bodu 2.2</w:t>
            </w:r>
          </w:p>
          <w:p w14:paraId="5957181F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3EBC86F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TA ČR v tomto bodě uvádí návrhy opatření zaměřené na spolupráci soukromého sektoru a výzkumných organizací. </w:t>
            </w:r>
          </w:p>
          <w:p w14:paraId="2CBB2459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770FADA2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vítá navrhovaná opatření jako snahu o systémové změny a komplexní přístup k dané problematice. Tato opatření však nejsou opět nijak časově ohraničena a chybí kvantifikace cílového stavu. </w:t>
            </w:r>
          </w:p>
          <w:p w14:paraId="2042B563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29C33F3C" w14:textId="1FB6B32D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navrhuje zavést měřitelné cíle s termíny pro následnou evaluaci dopadů. </w:t>
            </w:r>
          </w:p>
          <w:p w14:paraId="4FF3EA17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1C75C4B8" w14:textId="686042EA" w:rsidR="00B72970" w:rsidRPr="008043C7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Tato připomínka je zásadní.</w:t>
            </w:r>
          </w:p>
        </w:tc>
        <w:tc>
          <w:tcPr>
            <w:tcW w:w="6105" w:type="dxa"/>
          </w:tcPr>
          <w:p w14:paraId="7AFE431E" w14:textId="77777777" w:rsidR="008043C7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4D00F068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</w:p>
          <w:p w14:paraId="6D0881CF" w14:textId="233651F0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TA ČR doplnila měřitelný cíl s termínem pro následnou evaluaci dopadů.</w:t>
            </w:r>
          </w:p>
        </w:tc>
      </w:tr>
      <w:tr w:rsidR="00B72970" w:rsidRPr="00AF59B8" w14:paraId="2A35FD1D" w14:textId="77777777" w:rsidTr="00E853AC">
        <w:trPr>
          <w:trHeight w:val="340"/>
          <w:jc w:val="center"/>
        </w:trPr>
        <w:tc>
          <w:tcPr>
            <w:tcW w:w="1945" w:type="dxa"/>
          </w:tcPr>
          <w:p w14:paraId="6C24890D" w14:textId="77777777" w:rsidR="00B72970" w:rsidRDefault="00B72970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50AA9F93" w14:textId="3DFF058F" w:rsidR="00B72970" w:rsidRDefault="00B72970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5.</w:t>
            </w:r>
          </w:p>
        </w:tc>
        <w:tc>
          <w:tcPr>
            <w:tcW w:w="6105" w:type="dxa"/>
            <w:vAlign w:val="center"/>
          </w:tcPr>
          <w:p w14:paraId="07DC12D1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Ke Stanovisku, části 2. Hlavní zjištění z kontroly, bodu 2.3</w:t>
            </w:r>
          </w:p>
          <w:p w14:paraId="1681AD5E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7B4D62A3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TA ČR v tomto bodě uvádí návrhy opatření na zvýšení ochrany duševního vlastnictví. </w:t>
            </w:r>
          </w:p>
          <w:p w14:paraId="13393A0E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405CE28B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k tomu uvádí, že navrhovaná opatření částečně reflektují strukturální změny v inovačním ekosystému, nicméně chybí zde konkrétní nástroje pro motivaci výzkumníků. </w:t>
            </w:r>
          </w:p>
          <w:p w14:paraId="30C8F337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908D47E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navrhuje, aby TA ČR uvedla konkrétní nástroje a časový rámec jejich zavedení. </w:t>
            </w:r>
          </w:p>
          <w:p w14:paraId="6CAD2E9A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3CB89AF3" w14:textId="32CC8F96" w:rsidR="00B72970" w:rsidRP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Tato připomínka je zásadní.</w:t>
            </w:r>
          </w:p>
        </w:tc>
        <w:tc>
          <w:tcPr>
            <w:tcW w:w="6105" w:type="dxa"/>
          </w:tcPr>
          <w:p w14:paraId="53213CDB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586A4855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</w:p>
          <w:p w14:paraId="111D403C" w14:textId="4D1443A9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TA ČR doplnila konkrétní nástroje a časový rámec jejich zavedení.</w:t>
            </w:r>
          </w:p>
        </w:tc>
      </w:tr>
      <w:tr w:rsidR="00B72970" w:rsidRPr="00AF59B8" w14:paraId="0C5D47B1" w14:textId="77777777" w:rsidTr="00E853AC">
        <w:trPr>
          <w:trHeight w:val="340"/>
          <w:jc w:val="center"/>
        </w:trPr>
        <w:tc>
          <w:tcPr>
            <w:tcW w:w="1945" w:type="dxa"/>
          </w:tcPr>
          <w:p w14:paraId="2743537E" w14:textId="77777777" w:rsidR="00B72970" w:rsidRDefault="00B72970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5CE6CD8E" w14:textId="481D47C3" w:rsidR="00B72970" w:rsidRDefault="00B72970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6.</w:t>
            </w:r>
          </w:p>
        </w:tc>
        <w:tc>
          <w:tcPr>
            <w:tcW w:w="6105" w:type="dxa"/>
            <w:vAlign w:val="center"/>
          </w:tcPr>
          <w:p w14:paraId="1AC13327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Ke Stanovisku, části 2. Hlavní zjištění z kontroly, bodu 2.5</w:t>
            </w:r>
          </w:p>
          <w:p w14:paraId="64CA7F5E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53AA7367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GA ČR a TA ČR uvádí nejen návrhy opatření, ale zmiňují též důležitost spolupráce. </w:t>
            </w:r>
          </w:p>
          <w:p w14:paraId="7E194CAF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2F51942D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k tomu uvádí, že vnímá tato navrhovaná opatření jako dostatečná pouze pokud do budoucna opravdu povedou ke konkrétním společným krokům pro praktické propojení základního a aplikovaného výzkumu. </w:t>
            </w:r>
          </w:p>
          <w:p w14:paraId="22EEBED5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F2AEDB8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navrhuje, doplnit opatření o jasně stanovené kroky spolupráce včetně jejich časového určení. </w:t>
            </w:r>
          </w:p>
          <w:p w14:paraId="62B41CF7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1D68B70D" w14:textId="7CEE72B9" w:rsidR="00B72970" w:rsidRP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Tato připomínka je zásadní.</w:t>
            </w:r>
          </w:p>
        </w:tc>
        <w:tc>
          <w:tcPr>
            <w:tcW w:w="6105" w:type="dxa"/>
          </w:tcPr>
          <w:p w14:paraId="6DE5F715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2F14B15E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</w:p>
          <w:p w14:paraId="554327DE" w14:textId="6982A05B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GA ČR a TA ČR doplnily opatření o jasně stanovené kroky spolupráce včetně jejich časového určení.</w:t>
            </w:r>
          </w:p>
        </w:tc>
      </w:tr>
      <w:tr w:rsidR="00B72970" w:rsidRPr="00AF59B8" w14:paraId="47616634" w14:textId="77777777" w:rsidTr="00E853AC">
        <w:trPr>
          <w:trHeight w:val="340"/>
          <w:jc w:val="center"/>
        </w:trPr>
        <w:tc>
          <w:tcPr>
            <w:tcW w:w="1945" w:type="dxa"/>
          </w:tcPr>
          <w:p w14:paraId="0FAE57E7" w14:textId="77777777" w:rsidR="00B72970" w:rsidRDefault="00B72970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2E6EF3F6" w14:textId="36FB9E31" w:rsidR="00B72970" w:rsidRDefault="00B72970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 xml:space="preserve">7. </w:t>
            </w:r>
          </w:p>
        </w:tc>
        <w:tc>
          <w:tcPr>
            <w:tcW w:w="6105" w:type="dxa"/>
            <w:vAlign w:val="center"/>
          </w:tcPr>
          <w:p w14:paraId="10B1D308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Ke Stanovisku, části 2. Hlavní zjištění z kontroly, bodu 2.6</w:t>
            </w:r>
          </w:p>
          <w:p w14:paraId="53217E35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48F8A0F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GA ČR v tomto bodě uvádí opatření směřující ke zvyšování kvality výzkumu, zejména prostřednictvím soutěže EXPRO, reformy hodnocení vědy (</w:t>
            </w:r>
            <w:proofErr w:type="spellStart"/>
            <w:r w:rsidRPr="00B72970">
              <w:rPr>
                <w:rFonts w:ascii="Aptos" w:hAnsi="Aptos" w:cs="Times New Roman"/>
                <w:b/>
                <w:bCs/>
                <w:szCs w:val="22"/>
              </w:rPr>
              <w:t>CoARA</w:t>
            </w:r>
            <w:proofErr w:type="spellEnd"/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) a snahy o navýšení rozpočtu. </w:t>
            </w:r>
          </w:p>
          <w:p w14:paraId="28EF12FD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172CB4B1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NKU k tomu uvádí, že přestože jsou opatření věcně správná, jejich dostatečnost je omezená absencí konkrétních cílových hodnot indikátorů kvality a časového rámce realizace. Bez těchto prvků nelze efektivně vyhodnocovat přínos podpory. </w:t>
            </w:r>
          </w:p>
          <w:p w14:paraId="4CF14987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65B2A00B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navrhuje doplnit toto opatření o měřitelné cíle a termíny realizace. </w:t>
            </w:r>
          </w:p>
          <w:p w14:paraId="7192034C" w14:textId="10B2B245" w:rsidR="00B72970" w:rsidRP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Tato připomínka je zásadní.</w:t>
            </w:r>
          </w:p>
        </w:tc>
        <w:tc>
          <w:tcPr>
            <w:tcW w:w="6105" w:type="dxa"/>
          </w:tcPr>
          <w:p w14:paraId="59DC6441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2FF42C46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</w:p>
          <w:p w14:paraId="09958023" w14:textId="06C674FB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GA ČR doplnila toto opatření o měřitelné cíle a termíny realizace.</w:t>
            </w:r>
          </w:p>
        </w:tc>
      </w:tr>
      <w:tr w:rsidR="00B72970" w:rsidRPr="00AF59B8" w14:paraId="1A7A3C42" w14:textId="77777777" w:rsidTr="00E853AC">
        <w:trPr>
          <w:trHeight w:val="340"/>
          <w:jc w:val="center"/>
        </w:trPr>
        <w:tc>
          <w:tcPr>
            <w:tcW w:w="1945" w:type="dxa"/>
          </w:tcPr>
          <w:p w14:paraId="1F563729" w14:textId="77777777" w:rsidR="00B72970" w:rsidRDefault="00B72970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498EF3D0" w14:textId="18589272" w:rsidR="00B72970" w:rsidRDefault="00B72970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8.</w:t>
            </w:r>
          </w:p>
        </w:tc>
        <w:tc>
          <w:tcPr>
            <w:tcW w:w="6105" w:type="dxa"/>
            <w:vAlign w:val="center"/>
          </w:tcPr>
          <w:p w14:paraId="4E603005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Ke Stanovisku, části 3. Závěr, prvnímu odstavci, poslední větě</w:t>
            </w:r>
          </w:p>
          <w:p w14:paraId="5251D1BA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3DFAAF81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GA ČR a TA ČT v tomto odstavci uvádí: „Oceňujeme, že kontrola poukázala nejen na oblasti, kde se daří dosahovat pozitivních výsledků, ale také na témata, která si zaslouží naši zvýšenou pozornost.“. </w:t>
            </w:r>
          </w:p>
          <w:p w14:paraId="07A50B3E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45A36CF7" w14:textId="141D2AD5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 xml:space="preserve">NKÚ k tomu uvádí, že kontrola poukázala především na nedostatky v činnosti agentur, zejména na nedostatečnou spolupráci mezi agenturami a na zaměření jejich podpory (nedostatečná podpora zaměřená na aktuální potřeby společnosti, snižující se zapojení soukromého sektoru, pokles patentů a pomalý růst kvality základního výzkumu). Pozitivní zjištění souvisí s komplexním hodnocením práce agentur, konkrétně s transparentním výběrem projektů a samotným provozem agentur. Kontrolní závěr poukazuje zejména na nedostatky, které mají obě agentury zrcadlit ve své budoucí práci. Náprava těchto nedostatků je hlavním cílem kontrolního závěru. Z textu závěru Stanoviska vyznívá, že agentury mají tendenci vnímat pozitivní zjištění jako potvrzení své správné činnosti, aniž by dostatečně reflektovaly závažnost negativních zjištění. </w:t>
            </w:r>
          </w:p>
          <w:p w14:paraId="48CF6218" w14:textId="77777777" w:rsid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C2C5D30" w14:textId="29980A49" w:rsidR="00B72970" w:rsidRPr="00B72970" w:rsidRDefault="00B72970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B72970">
              <w:rPr>
                <w:rFonts w:ascii="Aptos" w:hAnsi="Aptos" w:cs="Times New Roman"/>
                <w:b/>
                <w:bCs/>
                <w:szCs w:val="22"/>
              </w:rPr>
              <w:t>NKÚ navrhuje, aby GA ČR a TA ČR ze Stanoviska větu vypustil nebo přeformuloval.</w:t>
            </w:r>
          </w:p>
        </w:tc>
        <w:tc>
          <w:tcPr>
            <w:tcW w:w="6105" w:type="dxa"/>
          </w:tcPr>
          <w:p w14:paraId="435D2CC3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3AE9ED6F" w14:textId="77777777" w:rsidR="00B72970" w:rsidRDefault="00B72970" w:rsidP="00B05E6F">
            <w:pPr>
              <w:rPr>
                <w:rFonts w:ascii="Aptos" w:hAnsi="Aptos" w:cs="Times New Roman"/>
                <w:szCs w:val="22"/>
              </w:rPr>
            </w:pPr>
          </w:p>
          <w:p w14:paraId="1CFFC020" w14:textId="3A590C8D" w:rsidR="00B72970" w:rsidRDefault="00C80BB1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GA ČR a TA ČR ze Stanoviska větu vypustily.</w:t>
            </w:r>
          </w:p>
        </w:tc>
      </w:tr>
      <w:tr w:rsidR="00C80BB1" w:rsidRPr="00AF59B8" w14:paraId="701D2B89" w14:textId="77777777" w:rsidTr="00E853AC">
        <w:trPr>
          <w:trHeight w:val="340"/>
          <w:jc w:val="center"/>
        </w:trPr>
        <w:tc>
          <w:tcPr>
            <w:tcW w:w="1945" w:type="dxa"/>
          </w:tcPr>
          <w:p w14:paraId="3E50B697" w14:textId="77777777" w:rsidR="00C80BB1" w:rsidRDefault="00C80BB1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39799A58" w14:textId="12D6C9D0" w:rsidR="00C80BB1" w:rsidRDefault="00C80BB1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  <w:r>
              <w:rPr>
                <w:rFonts w:ascii="Aptos" w:hAnsi="Aptos" w:cs="Times New Roman"/>
                <w:b/>
                <w:bCs/>
                <w:szCs w:val="22"/>
              </w:rPr>
              <w:t>9.</w:t>
            </w:r>
          </w:p>
        </w:tc>
        <w:tc>
          <w:tcPr>
            <w:tcW w:w="6105" w:type="dxa"/>
            <w:vAlign w:val="center"/>
          </w:tcPr>
          <w:p w14:paraId="43425052" w14:textId="77777777" w:rsidR="00C80BB1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C80BB1">
              <w:rPr>
                <w:rFonts w:ascii="Aptos" w:hAnsi="Aptos" w:cs="Times New Roman"/>
                <w:b/>
                <w:bCs/>
                <w:szCs w:val="22"/>
              </w:rPr>
              <w:t>Ke Stanovisku, části 3. Závěr, druhému odstavci, první větě</w:t>
            </w:r>
          </w:p>
          <w:p w14:paraId="20F5CC0B" w14:textId="77777777" w:rsidR="00C80BB1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7B0D13B9" w14:textId="77777777" w:rsidR="00C80BB1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C80BB1">
              <w:rPr>
                <w:rFonts w:ascii="Aptos" w:hAnsi="Aptos" w:cs="Times New Roman"/>
                <w:b/>
                <w:bCs/>
                <w:szCs w:val="22"/>
              </w:rPr>
              <w:t xml:space="preserve">GA ČR a TA ČR v tomto odstavci uvádí: „Většina opatření byla v posledních letech již zavedena a stala se součástí standardní praxe obou agentur“. </w:t>
            </w:r>
          </w:p>
          <w:p w14:paraId="773DFB94" w14:textId="77777777" w:rsidR="00C80BB1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55B79264" w14:textId="77777777" w:rsidR="00C80BB1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C80BB1">
              <w:rPr>
                <w:rFonts w:ascii="Aptos" w:hAnsi="Aptos" w:cs="Times New Roman"/>
                <w:b/>
                <w:bCs/>
                <w:szCs w:val="22"/>
              </w:rPr>
              <w:t xml:space="preserve">NKÚ k tomu uvádí, že vzhledem k nedostatkům zjištěným během kontroly, např. faktu, že GA ČR a TA ČR spolu aktivně nespolupracují, chybí podpora orientovaného základního výzkumu a nová skupina grantových projektů </w:t>
            </w:r>
            <w:proofErr w:type="spellStart"/>
            <w:r w:rsidRPr="00C80BB1">
              <w:rPr>
                <w:rFonts w:ascii="Aptos" w:hAnsi="Aptos" w:cs="Times New Roman"/>
                <w:b/>
                <w:bCs/>
                <w:szCs w:val="22"/>
              </w:rPr>
              <w:t>Proof</w:t>
            </w:r>
            <w:proofErr w:type="spellEnd"/>
            <w:r w:rsidRPr="00C80BB1">
              <w:rPr>
                <w:rFonts w:ascii="Aptos" w:hAnsi="Aptos" w:cs="Times New Roman"/>
                <w:b/>
                <w:bCs/>
                <w:szCs w:val="22"/>
              </w:rPr>
              <w:t xml:space="preserve"> </w:t>
            </w:r>
            <w:proofErr w:type="spellStart"/>
            <w:r w:rsidRPr="00C80BB1">
              <w:rPr>
                <w:rFonts w:ascii="Aptos" w:hAnsi="Aptos" w:cs="Times New Roman"/>
                <w:b/>
                <w:bCs/>
                <w:szCs w:val="22"/>
              </w:rPr>
              <w:t>of</w:t>
            </w:r>
            <w:proofErr w:type="spellEnd"/>
            <w:r w:rsidRPr="00C80BB1">
              <w:rPr>
                <w:rFonts w:ascii="Aptos" w:hAnsi="Aptos" w:cs="Times New Roman"/>
                <w:b/>
                <w:bCs/>
                <w:szCs w:val="22"/>
              </w:rPr>
              <w:t xml:space="preserve"> </w:t>
            </w:r>
            <w:proofErr w:type="spellStart"/>
            <w:r w:rsidRPr="00C80BB1">
              <w:rPr>
                <w:rFonts w:ascii="Aptos" w:hAnsi="Aptos" w:cs="Times New Roman"/>
                <w:b/>
                <w:bCs/>
                <w:szCs w:val="22"/>
              </w:rPr>
              <w:t>Concept</w:t>
            </w:r>
            <w:proofErr w:type="spellEnd"/>
            <w:r w:rsidRPr="00C80BB1">
              <w:rPr>
                <w:rFonts w:ascii="Aptos" w:hAnsi="Aptos" w:cs="Times New Roman"/>
                <w:b/>
                <w:bCs/>
                <w:szCs w:val="22"/>
              </w:rPr>
              <w:t xml:space="preserve"> nebyla do ukončení kontroly vyhlášena, je zřejmé, že většina opatření nebyla v posledních letech účinná. </w:t>
            </w:r>
          </w:p>
          <w:p w14:paraId="582D3FCD" w14:textId="77777777" w:rsidR="00C80BB1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  <w:p w14:paraId="0922F37F" w14:textId="7E77E230" w:rsidR="00C80BB1" w:rsidRPr="00B72970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  <w:r w:rsidRPr="00C80BB1">
              <w:rPr>
                <w:rFonts w:ascii="Aptos" w:hAnsi="Aptos" w:cs="Times New Roman"/>
                <w:b/>
                <w:bCs/>
                <w:szCs w:val="22"/>
              </w:rPr>
              <w:t>NKÚ navrhuje, aby GA ČR a TA ČR ze Stanoviska větu vypustil</w:t>
            </w:r>
          </w:p>
        </w:tc>
        <w:tc>
          <w:tcPr>
            <w:tcW w:w="6105" w:type="dxa"/>
          </w:tcPr>
          <w:p w14:paraId="4C0B7B53" w14:textId="77777777" w:rsidR="00C80BB1" w:rsidRDefault="00C80BB1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Akceptováno.</w:t>
            </w:r>
          </w:p>
          <w:p w14:paraId="26A689FC" w14:textId="77777777" w:rsidR="00C80BB1" w:rsidRDefault="00C80BB1" w:rsidP="00B05E6F">
            <w:pPr>
              <w:rPr>
                <w:rFonts w:ascii="Aptos" w:hAnsi="Aptos" w:cs="Times New Roman"/>
                <w:szCs w:val="22"/>
              </w:rPr>
            </w:pPr>
          </w:p>
          <w:p w14:paraId="1CE3F43B" w14:textId="5B3DF2FD" w:rsidR="00C80BB1" w:rsidRDefault="00C80BB1" w:rsidP="00B05E6F">
            <w:pPr>
              <w:rPr>
                <w:rFonts w:ascii="Aptos" w:hAnsi="Aptos" w:cs="Times New Roman"/>
                <w:szCs w:val="22"/>
              </w:rPr>
            </w:pPr>
            <w:r>
              <w:rPr>
                <w:rFonts w:ascii="Aptos" w:hAnsi="Aptos" w:cs="Times New Roman"/>
                <w:szCs w:val="22"/>
              </w:rPr>
              <w:t>GA ČR TA ČR ze Stanovisky větu vypustily.</w:t>
            </w:r>
          </w:p>
        </w:tc>
      </w:tr>
      <w:tr w:rsidR="00C80BB1" w:rsidRPr="00AF59B8" w14:paraId="765E4028" w14:textId="77777777" w:rsidTr="00E853AC">
        <w:trPr>
          <w:trHeight w:val="340"/>
          <w:jc w:val="center"/>
        </w:trPr>
        <w:tc>
          <w:tcPr>
            <w:tcW w:w="1945" w:type="dxa"/>
          </w:tcPr>
          <w:p w14:paraId="730DF077" w14:textId="77777777" w:rsidR="00C80BB1" w:rsidRDefault="00C80BB1" w:rsidP="00B441F8">
            <w:pPr>
              <w:jc w:val="center"/>
              <w:rPr>
                <w:rFonts w:ascii="Aptos" w:hAnsi="Aptos" w:cs="Times New Roman"/>
                <w:b/>
                <w:szCs w:val="22"/>
              </w:rPr>
            </w:pPr>
          </w:p>
        </w:tc>
        <w:tc>
          <w:tcPr>
            <w:tcW w:w="587" w:type="dxa"/>
          </w:tcPr>
          <w:p w14:paraId="78CEF099" w14:textId="77777777" w:rsidR="00C80BB1" w:rsidRDefault="00C80BB1" w:rsidP="00F81021">
            <w:pPr>
              <w:jc w:val="center"/>
              <w:rPr>
                <w:rFonts w:ascii="Aptos" w:hAnsi="Aptos" w:cs="Times New Roman"/>
                <w:b/>
                <w:bCs/>
                <w:szCs w:val="22"/>
              </w:rPr>
            </w:pPr>
          </w:p>
        </w:tc>
        <w:tc>
          <w:tcPr>
            <w:tcW w:w="6105" w:type="dxa"/>
            <w:vAlign w:val="center"/>
          </w:tcPr>
          <w:p w14:paraId="35F12906" w14:textId="77777777" w:rsidR="00C80BB1" w:rsidRPr="00C80BB1" w:rsidRDefault="00C80BB1" w:rsidP="004C3E45">
            <w:pPr>
              <w:rPr>
                <w:rFonts w:ascii="Aptos" w:hAnsi="Aptos" w:cs="Times New Roman"/>
                <w:b/>
                <w:bCs/>
                <w:szCs w:val="22"/>
              </w:rPr>
            </w:pPr>
          </w:p>
        </w:tc>
        <w:tc>
          <w:tcPr>
            <w:tcW w:w="6105" w:type="dxa"/>
          </w:tcPr>
          <w:p w14:paraId="7FBFA65D" w14:textId="77777777" w:rsidR="00C80BB1" w:rsidRDefault="00C80BB1" w:rsidP="00B05E6F">
            <w:pPr>
              <w:rPr>
                <w:rFonts w:ascii="Aptos" w:hAnsi="Aptos" w:cs="Times New Roman"/>
                <w:szCs w:val="22"/>
              </w:rPr>
            </w:pPr>
          </w:p>
        </w:tc>
      </w:tr>
    </w:tbl>
    <w:p w14:paraId="714FD0C1" w14:textId="77777777" w:rsidR="00C0553A" w:rsidRPr="00AF59B8" w:rsidRDefault="00C0553A" w:rsidP="009056DD">
      <w:pPr>
        <w:autoSpaceDE w:val="0"/>
        <w:autoSpaceDN w:val="0"/>
        <w:adjustRightInd w:val="0"/>
        <w:spacing w:before="240" w:after="240" w:line="240" w:lineRule="atLeast"/>
        <w:rPr>
          <w:rFonts w:ascii="Aptos" w:hAnsi="Aptos" w:cs="Times New Roman"/>
          <w:szCs w:val="22"/>
        </w:rPr>
      </w:pPr>
    </w:p>
    <w:sectPr w:rsidR="00C0553A" w:rsidRPr="00AF59B8" w:rsidSect="00DF31E1">
      <w:footerReference w:type="default" r:id="rId7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B3AC0" w14:textId="77777777" w:rsidR="0099542E" w:rsidRDefault="0099542E">
      <w:r>
        <w:separator/>
      </w:r>
    </w:p>
  </w:endnote>
  <w:endnote w:type="continuationSeparator" w:id="0">
    <w:p w14:paraId="572A02F2" w14:textId="77777777" w:rsidR="0099542E" w:rsidRDefault="0099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E4EE6" w14:textId="77777777" w:rsidR="00E92E6A" w:rsidRPr="00CA4A8C" w:rsidRDefault="00E92E6A" w:rsidP="00E92E6A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66659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B32B9E"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7ECDF" w14:textId="77777777" w:rsidR="0099542E" w:rsidRDefault="0099542E">
      <w:r>
        <w:separator/>
      </w:r>
    </w:p>
  </w:footnote>
  <w:footnote w:type="continuationSeparator" w:id="0">
    <w:p w14:paraId="354A7489" w14:textId="77777777" w:rsidR="0099542E" w:rsidRDefault="00995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645D2"/>
    <w:multiLevelType w:val="hybridMultilevel"/>
    <w:tmpl w:val="424E3F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9923755"/>
    <w:multiLevelType w:val="hybridMultilevel"/>
    <w:tmpl w:val="B574D9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113351">
    <w:abstractNumId w:val="7"/>
  </w:num>
  <w:num w:numId="2" w16cid:durableId="2116637077">
    <w:abstractNumId w:val="4"/>
  </w:num>
  <w:num w:numId="3" w16cid:durableId="356008187">
    <w:abstractNumId w:val="14"/>
  </w:num>
  <w:num w:numId="4" w16cid:durableId="457341564">
    <w:abstractNumId w:val="0"/>
  </w:num>
  <w:num w:numId="5" w16cid:durableId="1218395555">
    <w:abstractNumId w:val="9"/>
  </w:num>
  <w:num w:numId="6" w16cid:durableId="1468084304">
    <w:abstractNumId w:val="13"/>
  </w:num>
  <w:num w:numId="7" w16cid:durableId="481773304">
    <w:abstractNumId w:val="10"/>
  </w:num>
  <w:num w:numId="8" w16cid:durableId="1478381852">
    <w:abstractNumId w:val="5"/>
  </w:num>
  <w:num w:numId="9" w16cid:durableId="1685011300">
    <w:abstractNumId w:val="1"/>
  </w:num>
  <w:num w:numId="10" w16cid:durableId="906309400">
    <w:abstractNumId w:val="6"/>
  </w:num>
  <w:num w:numId="11" w16cid:durableId="2029794164">
    <w:abstractNumId w:val="12"/>
  </w:num>
  <w:num w:numId="12" w16cid:durableId="926234794">
    <w:abstractNumId w:val="3"/>
  </w:num>
  <w:num w:numId="13" w16cid:durableId="92014797">
    <w:abstractNumId w:val="8"/>
  </w:num>
  <w:num w:numId="14" w16cid:durableId="1419401039">
    <w:abstractNumId w:val="15"/>
  </w:num>
  <w:num w:numId="15" w16cid:durableId="1100418734">
    <w:abstractNumId w:val="11"/>
  </w:num>
  <w:num w:numId="16" w16cid:durableId="1985117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DB"/>
    <w:rsid w:val="000134BD"/>
    <w:rsid w:val="00015516"/>
    <w:rsid w:val="0001676C"/>
    <w:rsid w:val="000335F7"/>
    <w:rsid w:val="00062C44"/>
    <w:rsid w:val="000671E1"/>
    <w:rsid w:val="000837A2"/>
    <w:rsid w:val="00093098"/>
    <w:rsid w:val="000970C1"/>
    <w:rsid w:val="000A73B9"/>
    <w:rsid w:val="000A7FF0"/>
    <w:rsid w:val="000B085C"/>
    <w:rsid w:val="000C7F33"/>
    <w:rsid w:val="000E3BE9"/>
    <w:rsid w:val="000F4C63"/>
    <w:rsid w:val="00101687"/>
    <w:rsid w:val="0010762A"/>
    <w:rsid w:val="00110AAF"/>
    <w:rsid w:val="0012692B"/>
    <w:rsid w:val="00127F8A"/>
    <w:rsid w:val="00130B11"/>
    <w:rsid w:val="00132035"/>
    <w:rsid w:val="00140086"/>
    <w:rsid w:val="00144E5D"/>
    <w:rsid w:val="00145705"/>
    <w:rsid w:val="0014667B"/>
    <w:rsid w:val="00156CF2"/>
    <w:rsid w:val="001848D8"/>
    <w:rsid w:val="0019113D"/>
    <w:rsid w:val="00195697"/>
    <w:rsid w:val="001A49D5"/>
    <w:rsid w:val="001B2EDE"/>
    <w:rsid w:val="001C1BAD"/>
    <w:rsid w:val="001D55D4"/>
    <w:rsid w:val="001F33A5"/>
    <w:rsid w:val="001F5DE0"/>
    <w:rsid w:val="00205563"/>
    <w:rsid w:val="00212ADB"/>
    <w:rsid w:val="002132CD"/>
    <w:rsid w:val="00217309"/>
    <w:rsid w:val="00223FD1"/>
    <w:rsid w:val="00241C0B"/>
    <w:rsid w:val="00254415"/>
    <w:rsid w:val="00254AB0"/>
    <w:rsid w:val="0027082B"/>
    <w:rsid w:val="00280DC4"/>
    <w:rsid w:val="00287369"/>
    <w:rsid w:val="00291F07"/>
    <w:rsid w:val="00293DD2"/>
    <w:rsid w:val="002A26E9"/>
    <w:rsid w:val="002A29FE"/>
    <w:rsid w:val="002B0038"/>
    <w:rsid w:val="002B3CEB"/>
    <w:rsid w:val="002C6EC1"/>
    <w:rsid w:val="002D227F"/>
    <w:rsid w:val="002E23EF"/>
    <w:rsid w:val="002E4804"/>
    <w:rsid w:val="002F055A"/>
    <w:rsid w:val="002F1FD6"/>
    <w:rsid w:val="002F258E"/>
    <w:rsid w:val="003064CF"/>
    <w:rsid w:val="00306D86"/>
    <w:rsid w:val="00311035"/>
    <w:rsid w:val="0031190F"/>
    <w:rsid w:val="00315832"/>
    <w:rsid w:val="00321028"/>
    <w:rsid w:val="003457DA"/>
    <w:rsid w:val="003578E4"/>
    <w:rsid w:val="003636B6"/>
    <w:rsid w:val="00366ED0"/>
    <w:rsid w:val="00367F13"/>
    <w:rsid w:val="003C3A84"/>
    <w:rsid w:val="003D2636"/>
    <w:rsid w:val="003D276A"/>
    <w:rsid w:val="003E4807"/>
    <w:rsid w:val="0040041F"/>
    <w:rsid w:val="00403E3C"/>
    <w:rsid w:val="00406325"/>
    <w:rsid w:val="004111C8"/>
    <w:rsid w:val="004143C1"/>
    <w:rsid w:val="00415516"/>
    <w:rsid w:val="00417825"/>
    <w:rsid w:val="004200DC"/>
    <w:rsid w:val="00420190"/>
    <w:rsid w:val="00422C41"/>
    <w:rsid w:val="00441E4C"/>
    <w:rsid w:val="00466731"/>
    <w:rsid w:val="00472A7E"/>
    <w:rsid w:val="00475907"/>
    <w:rsid w:val="004A3B5C"/>
    <w:rsid w:val="004C3E45"/>
    <w:rsid w:val="004F00D3"/>
    <w:rsid w:val="005023DF"/>
    <w:rsid w:val="00506235"/>
    <w:rsid w:val="00507C8D"/>
    <w:rsid w:val="005213A9"/>
    <w:rsid w:val="00522DBE"/>
    <w:rsid w:val="00525526"/>
    <w:rsid w:val="00530598"/>
    <w:rsid w:val="00540F7C"/>
    <w:rsid w:val="005423C1"/>
    <w:rsid w:val="00556ED7"/>
    <w:rsid w:val="00581451"/>
    <w:rsid w:val="00584AD2"/>
    <w:rsid w:val="00586F0C"/>
    <w:rsid w:val="0059536B"/>
    <w:rsid w:val="00597FEB"/>
    <w:rsid w:val="005A278E"/>
    <w:rsid w:val="005A325F"/>
    <w:rsid w:val="005A5A03"/>
    <w:rsid w:val="005B1037"/>
    <w:rsid w:val="005C610B"/>
    <w:rsid w:val="005C6F8F"/>
    <w:rsid w:val="005D5146"/>
    <w:rsid w:val="005D7EE4"/>
    <w:rsid w:val="005E0DD6"/>
    <w:rsid w:val="005E7888"/>
    <w:rsid w:val="005F77BA"/>
    <w:rsid w:val="00607570"/>
    <w:rsid w:val="00617770"/>
    <w:rsid w:val="00625C4E"/>
    <w:rsid w:val="0063092B"/>
    <w:rsid w:val="00633AD7"/>
    <w:rsid w:val="00635FA3"/>
    <w:rsid w:val="006418D9"/>
    <w:rsid w:val="00641AB8"/>
    <w:rsid w:val="00660566"/>
    <w:rsid w:val="00662184"/>
    <w:rsid w:val="00666592"/>
    <w:rsid w:val="006707E2"/>
    <w:rsid w:val="00676B6D"/>
    <w:rsid w:val="006927CB"/>
    <w:rsid w:val="006A5ACC"/>
    <w:rsid w:val="006D6FEC"/>
    <w:rsid w:val="006E7FCC"/>
    <w:rsid w:val="006F1E98"/>
    <w:rsid w:val="007025BE"/>
    <w:rsid w:val="00714252"/>
    <w:rsid w:val="007624B7"/>
    <w:rsid w:val="007801AD"/>
    <w:rsid w:val="007908EB"/>
    <w:rsid w:val="007952FD"/>
    <w:rsid w:val="007A3FC1"/>
    <w:rsid w:val="007A4389"/>
    <w:rsid w:val="007A4514"/>
    <w:rsid w:val="007C2824"/>
    <w:rsid w:val="007C2832"/>
    <w:rsid w:val="007C6BDC"/>
    <w:rsid w:val="007E1384"/>
    <w:rsid w:val="007E4729"/>
    <w:rsid w:val="007E6DCF"/>
    <w:rsid w:val="007E6DF7"/>
    <w:rsid w:val="007F0C8F"/>
    <w:rsid w:val="007F1990"/>
    <w:rsid w:val="007F6497"/>
    <w:rsid w:val="008043C7"/>
    <w:rsid w:val="00804406"/>
    <w:rsid w:val="008134B3"/>
    <w:rsid w:val="00822045"/>
    <w:rsid w:val="008275AF"/>
    <w:rsid w:val="008430E3"/>
    <w:rsid w:val="00850594"/>
    <w:rsid w:val="0085141E"/>
    <w:rsid w:val="00854876"/>
    <w:rsid w:val="00860C55"/>
    <w:rsid w:val="00860FD3"/>
    <w:rsid w:val="00864230"/>
    <w:rsid w:val="008777EA"/>
    <w:rsid w:val="008842B3"/>
    <w:rsid w:val="00886046"/>
    <w:rsid w:val="008937D4"/>
    <w:rsid w:val="00894F8C"/>
    <w:rsid w:val="008A46C8"/>
    <w:rsid w:val="008A53B6"/>
    <w:rsid w:val="008B55BA"/>
    <w:rsid w:val="008C55F6"/>
    <w:rsid w:val="008D001D"/>
    <w:rsid w:val="008D1D31"/>
    <w:rsid w:val="008D74FB"/>
    <w:rsid w:val="008F3C97"/>
    <w:rsid w:val="008F7AA8"/>
    <w:rsid w:val="009056DD"/>
    <w:rsid w:val="00942FA3"/>
    <w:rsid w:val="0094486E"/>
    <w:rsid w:val="00952E4D"/>
    <w:rsid w:val="00985528"/>
    <w:rsid w:val="009945AB"/>
    <w:rsid w:val="0099542E"/>
    <w:rsid w:val="009A2376"/>
    <w:rsid w:val="009B1CD8"/>
    <w:rsid w:val="009B2879"/>
    <w:rsid w:val="009B435F"/>
    <w:rsid w:val="009B66D5"/>
    <w:rsid w:val="009B670F"/>
    <w:rsid w:val="009C4303"/>
    <w:rsid w:val="009C61AA"/>
    <w:rsid w:val="009E041A"/>
    <w:rsid w:val="009E1556"/>
    <w:rsid w:val="009E1CBD"/>
    <w:rsid w:val="009E44F6"/>
    <w:rsid w:val="00A1223A"/>
    <w:rsid w:val="00A1699D"/>
    <w:rsid w:val="00A17317"/>
    <w:rsid w:val="00A1761E"/>
    <w:rsid w:val="00A30156"/>
    <w:rsid w:val="00A63463"/>
    <w:rsid w:val="00A6567B"/>
    <w:rsid w:val="00A964FB"/>
    <w:rsid w:val="00AA179A"/>
    <w:rsid w:val="00AC06FC"/>
    <w:rsid w:val="00AC469B"/>
    <w:rsid w:val="00AD59F5"/>
    <w:rsid w:val="00AF016A"/>
    <w:rsid w:val="00AF59B8"/>
    <w:rsid w:val="00B028CF"/>
    <w:rsid w:val="00B03196"/>
    <w:rsid w:val="00B05E6F"/>
    <w:rsid w:val="00B06FC2"/>
    <w:rsid w:val="00B076F9"/>
    <w:rsid w:val="00B15FF5"/>
    <w:rsid w:val="00B30DCD"/>
    <w:rsid w:val="00B313A8"/>
    <w:rsid w:val="00B32B9E"/>
    <w:rsid w:val="00B364E7"/>
    <w:rsid w:val="00B371F9"/>
    <w:rsid w:val="00B430BA"/>
    <w:rsid w:val="00B441F8"/>
    <w:rsid w:val="00B5133C"/>
    <w:rsid w:val="00B62844"/>
    <w:rsid w:val="00B675C3"/>
    <w:rsid w:val="00B72970"/>
    <w:rsid w:val="00B75488"/>
    <w:rsid w:val="00B754CD"/>
    <w:rsid w:val="00B77102"/>
    <w:rsid w:val="00B81330"/>
    <w:rsid w:val="00B85C76"/>
    <w:rsid w:val="00BA3C59"/>
    <w:rsid w:val="00BA7DC0"/>
    <w:rsid w:val="00BC49A5"/>
    <w:rsid w:val="00BD5685"/>
    <w:rsid w:val="00BD6B94"/>
    <w:rsid w:val="00BF1ECE"/>
    <w:rsid w:val="00BF345C"/>
    <w:rsid w:val="00BF407C"/>
    <w:rsid w:val="00BF6B3F"/>
    <w:rsid w:val="00C0400E"/>
    <w:rsid w:val="00C0553A"/>
    <w:rsid w:val="00C12216"/>
    <w:rsid w:val="00C1392F"/>
    <w:rsid w:val="00C31F3B"/>
    <w:rsid w:val="00C366AB"/>
    <w:rsid w:val="00C378D4"/>
    <w:rsid w:val="00C44F51"/>
    <w:rsid w:val="00C7306B"/>
    <w:rsid w:val="00C80BB1"/>
    <w:rsid w:val="00C9372F"/>
    <w:rsid w:val="00C9416F"/>
    <w:rsid w:val="00C94FD4"/>
    <w:rsid w:val="00CA0B69"/>
    <w:rsid w:val="00CB60E0"/>
    <w:rsid w:val="00CC297A"/>
    <w:rsid w:val="00CE00B4"/>
    <w:rsid w:val="00CE4A9C"/>
    <w:rsid w:val="00CE785A"/>
    <w:rsid w:val="00CF5F67"/>
    <w:rsid w:val="00D00D44"/>
    <w:rsid w:val="00D00EDB"/>
    <w:rsid w:val="00D02F6D"/>
    <w:rsid w:val="00D05563"/>
    <w:rsid w:val="00D15E40"/>
    <w:rsid w:val="00D2274D"/>
    <w:rsid w:val="00D40886"/>
    <w:rsid w:val="00D510EC"/>
    <w:rsid w:val="00D53649"/>
    <w:rsid w:val="00D64218"/>
    <w:rsid w:val="00D80871"/>
    <w:rsid w:val="00DB25B3"/>
    <w:rsid w:val="00DB7A85"/>
    <w:rsid w:val="00DE3EF8"/>
    <w:rsid w:val="00DE5945"/>
    <w:rsid w:val="00DE6B25"/>
    <w:rsid w:val="00DE705C"/>
    <w:rsid w:val="00DF1B87"/>
    <w:rsid w:val="00DF31E1"/>
    <w:rsid w:val="00DF3F5B"/>
    <w:rsid w:val="00E06E4B"/>
    <w:rsid w:val="00E111E0"/>
    <w:rsid w:val="00E13CF6"/>
    <w:rsid w:val="00E14F8F"/>
    <w:rsid w:val="00E235D5"/>
    <w:rsid w:val="00E2413F"/>
    <w:rsid w:val="00E364F6"/>
    <w:rsid w:val="00E47DEE"/>
    <w:rsid w:val="00E51DAA"/>
    <w:rsid w:val="00E554D7"/>
    <w:rsid w:val="00E61AE1"/>
    <w:rsid w:val="00E6642E"/>
    <w:rsid w:val="00E73EA1"/>
    <w:rsid w:val="00E8534D"/>
    <w:rsid w:val="00E853AC"/>
    <w:rsid w:val="00E90993"/>
    <w:rsid w:val="00E92E6A"/>
    <w:rsid w:val="00EA3AAA"/>
    <w:rsid w:val="00EB0F86"/>
    <w:rsid w:val="00EB21CE"/>
    <w:rsid w:val="00EB356D"/>
    <w:rsid w:val="00EF1EE0"/>
    <w:rsid w:val="00EF583B"/>
    <w:rsid w:val="00F049DE"/>
    <w:rsid w:val="00F0547E"/>
    <w:rsid w:val="00F12027"/>
    <w:rsid w:val="00F168BF"/>
    <w:rsid w:val="00F24526"/>
    <w:rsid w:val="00F33297"/>
    <w:rsid w:val="00F357CF"/>
    <w:rsid w:val="00F4058D"/>
    <w:rsid w:val="00F40AA2"/>
    <w:rsid w:val="00F40C35"/>
    <w:rsid w:val="00F42D96"/>
    <w:rsid w:val="00F53076"/>
    <w:rsid w:val="00F81021"/>
    <w:rsid w:val="00FB4727"/>
    <w:rsid w:val="00FD49B5"/>
    <w:rsid w:val="00FE084B"/>
    <w:rsid w:val="00FE1A7B"/>
    <w:rsid w:val="00FE5D6B"/>
    <w:rsid w:val="00FE7E10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F482C"/>
  <w15:chartTrackingRefBased/>
  <w15:docId w15:val="{54C4121C-3BF9-4557-9127-12A91EA7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00B4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link w:val="Podnadpis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  <w:lang w:val="x-none" w:eastAsia="x-none"/>
    </w:rPr>
  </w:style>
  <w:style w:type="character" w:customStyle="1" w:styleId="PodnadpisChar">
    <w:name w:val="Podnadpis Char"/>
    <w:link w:val="Podnadpis"/>
    <w:uiPriority w:val="11"/>
    <w:rsid w:val="00E92E6A"/>
    <w:rPr>
      <w:rFonts w:ascii="Cambria" w:hAnsi="Cambria"/>
      <w:sz w:val="24"/>
      <w:szCs w:val="24"/>
    </w:rPr>
  </w:style>
  <w:style w:type="paragraph" w:styleId="Odstavecseseznamem">
    <w:name w:val="List Paragraph"/>
    <w:basedOn w:val="Normln"/>
    <w:uiPriority w:val="63"/>
    <w:qFormat/>
    <w:rsid w:val="00FE7E10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502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6B6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.pichl\AppData\Local\Acta\Templates\2048396_Vl&#225;da%20vypo&#345;&#225;d&#225;n&#237;%20MP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2048396_Vláda vypořádání MPR.dot</Template>
  <TotalTime>42</TotalTime>
  <Pages>8</Pages>
  <Words>1310</Words>
  <Characters>7744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Petr Matolín</dc:creator>
  <cp:keywords/>
  <cp:lastModifiedBy>Autor</cp:lastModifiedBy>
  <cp:revision>7</cp:revision>
  <cp:lastPrinted>2004-04-02T05:53:00Z</cp:lastPrinted>
  <dcterms:created xsi:type="dcterms:W3CDTF">2025-10-22T16:57:00Z</dcterms:created>
  <dcterms:modified xsi:type="dcterms:W3CDTF">2025-10-23T09:26:00Z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